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CA7" w:rsidRDefault="00A76CA7" w:rsidP="00A76CA7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6CA7" w:rsidRDefault="00A76CA7" w:rsidP="00A76CA7">
      <w:pPr>
        <w:spacing w:after="120" w:line="360" w:lineRule="auto"/>
        <w:rPr>
          <w:sz w:val="24"/>
          <w:szCs w:val="24"/>
        </w:rPr>
      </w:pPr>
    </w:p>
    <w:p w:rsidR="00A76CA7" w:rsidRDefault="00A76CA7" w:rsidP="00A76CA7">
      <w:pPr>
        <w:spacing w:after="120" w:line="360" w:lineRule="auto"/>
      </w:pPr>
    </w:p>
    <w:p w:rsidR="00A76CA7" w:rsidRDefault="00A76CA7" w:rsidP="00A76CA7">
      <w:pPr>
        <w:pStyle w:val="a9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A76CA7" w:rsidRDefault="00A76CA7" w:rsidP="00A76CA7">
      <w:pPr>
        <w:pStyle w:val="a9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A76CA7" w:rsidRDefault="00A76CA7" w:rsidP="00A76CA7">
      <w:pPr>
        <w:pStyle w:val="a9"/>
        <w:rPr>
          <w:b/>
          <w:sz w:val="36"/>
        </w:rPr>
      </w:pPr>
      <w:r>
        <w:rPr>
          <w:b/>
          <w:sz w:val="24"/>
        </w:rPr>
        <w:t>ПОСТАНОВЛЕНИЕ</w:t>
      </w:r>
    </w:p>
    <w:p w:rsidR="00150A3D" w:rsidRDefault="00A76CA7" w:rsidP="00A76CA7">
      <w:pPr>
        <w:rPr>
          <w:rFonts w:ascii="Times New Roman" w:hAnsi="Times New Roman" w:cs="Times New Roman"/>
          <w:i/>
          <w:sz w:val="24"/>
          <w:szCs w:val="24"/>
        </w:rPr>
      </w:pPr>
      <w:r w:rsidRPr="00A76CA7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9B57D1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A76CA7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A76CA7">
        <w:rPr>
          <w:rFonts w:ascii="Times New Roman" w:hAnsi="Times New Roman" w:cs="Times New Roman"/>
          <w:sz w:val="28"/>
          <w:szCs w:val="28"/>
        </w:rPr>
        <w:tab/>
      </w:r>
      <w:r w:rsidRPr="00A76CA7">
        <w:rPr>
          <w:rFonts w:ascii="Times New Roman" w:hAnsi="Times New Roman" w:cs="Times New Roman"/>
          <w:sz w:val="28"/>
          <w:szCs w:val="28"/>
        </w:rPr>
        <w:tab/>
      </w:r>
      <w:r w:rsidRPr="00A76CA7">
        <w:rPr>
          <w:rFonts w:ascii="Times New Roman" w:hAnsi="Times New Roman" w:cs="Times New Roman"/>
          <w:sz w:val="28"/>
          <w:szCs w:val="28"/>
        </w:rPr>
        <w:tab/>
      </w:r>
      <w:r w:rsidRPr="00A76CA7">
        <w:rPr>
          <w:rFonts w:ascii="Times New Roman" w:hAnsi="Times New Roman" w:cs="Times New Roman"/>
          <w:sz w:val="28"/>
          <w:szCs w:val="28"/>
        </w:rPr>
        <w:tab/>
      </w:r>
      <w:r w:rsidRPr="00A76CA7">
        <w:rPr>
          <w:rFonts w:ascii="Times New Roman" w:hAnsi="Times New Roman" w:cs="Times New Roman"/>
          <w:sz w:val="28"/>
          <w:szCs w:val="28"/>
        </w:rPr>
        <w:tab/>
      </w:r>
      <w:r w:rsidRPr="00A76CA7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9B57D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76CA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76CA7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9B57D1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A76CA7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9B57D1">
        <w:rPr>
          <w:rFonts w:ascii="Times New Roman" w:hAnsi="Times New Roman" w:cs="Times New Roman"/>
          <w:sz w:val="28"/>
          <w:szCs w:val="28"/>
          <w:u w:val="single"/>
        </w:rPr>
        <w:t>31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Pr="002F4CA3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299B" w:rsidRPr="002F4CA3" w:rsidRDefault="00D8299B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150A3D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5C3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942E4F">
        <w:rPr>
          <w:rFonts w:ascii="Times New Roman" w:hAnsi="Times New Roman" w:cs="Times New Roman"/>
          <w:i/>
          <w:sz w:val="24"/>
          <w:szCs w:val="24"/>
        </w:rPr>
        <w:t>30</w:t>
      </w:r>
      <w:r w:rsidRPr="00F015C3">
        <w:rPr>
          <w:rFonts w:ascii="Times New Roman" w:hAnsi="Times New Roman" w:cs="Times New Roman"/>
          <w:i/>
          <w:sz w:val="24"/>
          <w:szCs w:val="24"/>
        </w:rPr>
        <w:t>.1</w:t>
      </w:r>
      <w:r w:rsidR="00942E4F">
        <w:rPr>
          <w:rFonts w:ascii="Times New Roman" w:hAnsi="Times New Roman" w:cs="Times New Roman"/>
          <w:i/>
          <w:sz w:val="24"/>
          <w:szCs w:val="24"/>
        </w:rPr>
        <w:t>1</w:t>
      </w:r>
      <w:r w:rsidRPr="00F015C3">
        <w:rPr>
          <w:rFonts w:ascii="Times New Roman" w:hAnsi="Times New Roman" w:cs="Times New Roman"/>
          <w:i/>
          <w:sz w:val="24"/>
          <w:szCs w:val="24"/>
        </w:rPr>
        <w:t>.201</w:t>
      </w:r>
      <w:r w:rsidR="00942E4F">
        <w:rPr>
          <w:rFonts w:ascii="Times New Roman" w:hAnsi="Times New Roman" w:cs="Times New Roman"/>
          <w:i/>
          <w:sz w:val="24"/>
          <w:szCs w:val="24"/>
        </w:rPr>
        <w:t>5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942E4F">
        <w:rPr>
          <w:rFonts w:ascii="Times New Roman" w:hAnsi="Times New Roman" w:cs="Times New Roman"/>
          <w:i/>
          <w:sz w:val="24"/>
          <w:szCs w:val="24"/>
        </w:rPr>
        <w:t>49/53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50A3D" w:rsidRPr="004C71E1" w:rsidRDefault="00150A3D" w:rsidP="00150A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A3D" w:rsidRPr="005664E6" w:rsidRDefault="00150A3D" w:rsidP="00150A3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150A3D" w:rsidRPr="005664E6" w:rsidRDefault="00150A3D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42E4F">
        <w:rPr>
          <w:rFonts w:ascii="Times New Roman" w:hAnsi="Times New Roman" w:cs="Times New Roman"/>
          <w:sz w:val="28"/>
          <w:szCs w:val="28"/>
        </w:rPr>
        <w:t>30.11.2015</w:t>
      </w:r>
      <w:r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 w:rsidR="00942E4F">
        <w:rPr>
          <w:rFonts w:ascii="Times New Roman" w:hAnsi="Times New Roman" w:cs="Times New Roman"/>
          <w:sz w:val="28"/>
          <w:szCs w:val="28"/>
        </w:rPr>
        <w:t>49/53</w:t>
      </w:r>
      <w:r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 w:cs="Times New Roman"/>
          <w:sz w:val="28"/>
          <w:szCs w:val="28"/>
        </w:rPr>
        <w:t>», изложив приложения № 1, 2 к постановлению в следующей редакции согласно приложениям № 1, 2.</w:t>
      </w:r>
      <w:r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A3D" w:rsidRPr="005664E6" w:rsidRDefault="00150A3D" w:rsidP="00150A3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2017 года. </w:t>
      </w:r>
    </w:p>
    <w:p w:rsidR="00150A3D" w:rsidRPr="005664E6" w:rsidRDefault="00150A3D" w:rsidP="00150A3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50A3D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Pr="005664E6" w:rsidRDefault="00150A3D" w:rsidP="00150A3D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0A3D" w:rsidRPr="005664E6" w:rsidRDefault="002F4CA3" w:rsidP="00150A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150A3D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150A3D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150A3D" w:rsidRPr="005664E6" w:rsidRDefault="00150A3D" w:rsidP="00150A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150A3D" w:rsidRPr="005664E6" w:rsidRDefault="00150A3D" w:rsidP="00150A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</w:t>
      </w:r>
      <w:r w:rsidR="002F4CA3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150A3D" w:rsidRDefault="00150A3D" w:rsidP="00942E4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150A3D" w:rsidTr="00D8299B">
        <w:tc>
          <w:tcPr>
            <w:tcW w:w="6379" w:type="dxa"/>
          </w:tcPr>
          <w:p w:rsidR="00150A3D" w:rsidRDefault="00150A3D" w:rsidP="00D8299B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150A3D" w:rsidRPr="00E32602" w:rsidRDefault="00150A3D" w:rsidP="00D829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150A3D" w:rsidRPr="00F85132" w:rsidRDefault="00150A3D" w:rsidP="00942E4F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42E4F">
              <w:rPr>
                <w:rFonts w:ascii="Times New Roman" w:hAnsi="Times New Roman"/>
                <w:sz w:val="24"/>
                <w:szCs w:val="24"/>
              </w:rPr>
              <w:t>08.12</w:t>
            </w:r>
            <w:r w:rsidR="00DD2E8A">
              <w:rPr>
                <w:rFonts w:ascii="Times New Roman" w:hAnsi="Times New Roman"/>
                <w:sz w:val="24"/>
                <w:szCs w:val="24"/>
              </w:rPr>
              <w:t>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F8513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942E4F">
              <w:rPr>
                <w:rFonts w:ascii="Times New Roman" w:hAnsi="Times New Roman"/>
                <w:sz w:val="24"/>
                <w:szCs w:val="24"/>
              </w:rPr>
              <w:t>3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2F4CA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150A3D" w:rsidRDefault="00150A3D" w:rsidP="00150A3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A3D" w:rsidRPr="00666A97" w:rsidRDefault="00150A3D" w:rsidP="00150A3D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A97">
        <w:rPr>
          <w:rFonts w:ascii="Times New Roman" w:hAnsi="Times New Roman" w:cs="Times New Roman"/>
          <w:b/>
          <w:sz w:val="24"/>
          <w:szCs w:val="24"/>
        </w:rPr>
        <w:t>Тарифы на тепловую энергию</w:t>
      </w:r>
      <w:r>
        <w:rPr>
          <w:rFonts w:ascii="Times New Roman" w:hAnsi="Times New Roman" w:cs="Times New Roman"/>
          <w:b/>
          <w:sz w:val="24"/>
          <w:szCs w:val="24"/>
        </w:rPr>
        <w:t xml:space="preserve"> (мощность),</w:t>
      </w:r>
      <w:r w:rsidRPr="00666A97">
        <w:rPr>
          <w:rFonts w:ascii="Times New Roman" w:hAnsi="Times New Roman" w:cs="Times New Roman"/>
          <w:b/>
          <w:sz w:val="24"/>
          <w:szCs w:val="24"/>
        </w:rPr>
        <w:t xml:space="preserve"> поставляемую потребителям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150A3D" w:rsidRPr="00666A97" w:rsidTr="00D8299B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150A3D" w:rsidRPr="00666A97" w:rsidTr="00D8299B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492991" w:rsidRPr="00492751" w:rsidRDefault="00492991" w:rsidP="00492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«Суздальтеплосбыт», г. Суздаль</w:t>
            </w:r>
          </w:p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50A3D" w:rsidRPr="00666A97" w:rsidRDefault="00150A3D" w:rsidP="00492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4929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 w:rsidR="004929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492991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1 973,88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492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 w:rsidR="004929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 w:rsidR="004929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492991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2 086,39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492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492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 w:rsidR="00492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492991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2 086,39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492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 w:rsidR="00492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 w:rsidR="00492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022152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2 472,35</w:t>
            </w:r>
          </w:p>
        </w:tc>
      </w:tr>
      <w:tr w:rsidR="00150A3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492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4929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 w:rsidR="004929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022152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2 472,35</w:t>
            </w:r>
          </w:p>
        </w:tc>
      </w:tr>
      <w:tr w:rsidR="00150A3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150A3D" w:rsidP="00492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 w:rsidR="004929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 w:rsidR="004929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022152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2 425,52</w:t>
            </w:r>
          </w:p>
        </w:tc>
      </w:tr>
      <w:tr w:rsidR="00150A3D" w:rsidRPr="00666A97" w:rsidTr="00D8299B">
        <w:trPr>
          <w:trHeight w:val="233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50A3D" w:rsidRPr="00666A97" w:rsidRDefault="00492991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492991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2 329,18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492991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492991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2 461,94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492991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666A97" w:rsidRDefault="00492991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2 461,94</w:t>
            </w:r>
          </w:p>
        </w:tc>
      </w:tr>
      <w:tr w:rsidR="00150A3D" w:rsidRPr="00666A97" w:rsidTr="00D8299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492991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022152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2 917,37</w:t>
            </w:r>
          </w:p>
        </w:tc>
      </w:tr>
      <w:tr w:rsidR="00150A3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492991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022152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2 917,37</w:t>
            </w:r>
          </w:p>
        </w:tc>
      </w:tr>
      <w:tr w:rsidR="00150A3D" w:rsidRPr="00666A97" w:rsidTr="00D8299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50A3D" w:rsidRPr="00666A97" w:rsidRDefault="00150A3D" w:rsidP="00D82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50A3D" w:rsidRPr="00666A97" w:rsidRDefault="00150A3D" w:rsidP="00D82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50A3D" w:rsidRPr="00666A97" w:rsidRDefault="00492991" w:rsidP="00D82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6A97">
              <w:rPr>
                <w:rFonts w:ascii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50A3D" w:rsidRPr="00F011F2" w:rsidRDefault="00022152" w:rsidP="00D829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2 862,11</w:t>
            </w:r>
          </w:p>
        </w:tc>
      </w:tr>
    </w:tbl>
    <w:p w:rsidR="00150A3D" w:rsidRPr="00666A97" w:rsidRDefault="00150A3D" w:rsidP="00150A3D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6A9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666A9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66A9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150A3D" w:rsidRDefault="00150A3D" w:rsidP="00150A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50A3D" w:rsidRPr="00437EE8" w:rsidRDefault="00150A3D" w:rsidP="00150A3D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B00829" w:rsidRDefault="00B00829"/>
    <w:p w:rsidR="00492991" w:rsidRDefault="00492991"/>
    <w:p w:rsidR="00492991" w:rsidRDefault="00492991"/>
    <w:p w:rsidR="00492991" w:rsidRDefault="00492991"/>
    <w:p w:rsidR="00492991" w:rsidRDefault="00492991"/>
    <w:p w:rsidR="00492991" w:rsidRDefault="00492991"/>
    <w:p w:rsidR="00492991" w:rsidRDefault="00492991"/>
    <w:p w:rsidR="00492991" w:rsidRDefault="00492991" w:rsidP="00492991">
      <w:pPr>
        <w:jc w:val="center"/>
        <w:rPr>
          <w:rFonts w:ascii="Times New Roman" w:hAnsi="Times New Roman"/>
          <w:bCs/>
          <w:iCs/>
          <w:sz w:val="28"/>
          <w:szCs w:val="28"/>
        </w:rPr>
        <w:sectPr w:rsidR="00492991" w:rsidSect="00D8299B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  <w:gridCol w:w="3650"/>
      </w:tblGrid>
      <w:tr w:rsidR="00492991" w:rsidTr="00492991">
        <w:tc>
          <w:tcPr>
            <w:tcW w:w="10773" w:type="dxa"/>
          </w:tcPr>
          <w:p w:rsidR="00492991" w:rsidRDefault="00492991" w:rsidP="00492991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492991" w:rsidRPr="00E32602" w:rsidRDefault="00492991" w:rsidP="00492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492991" w:rsidRPr="00E32602" w:rsidRDefault="00492991" w:rsidP="00492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492991" w:rsidRPr="00E32602" w:rsidRDefault="00492991" w:rsidP="00492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492991" w:rsidRPr="00E32602" w:rsidRDefault="00492991" w:rsidP="00492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492991" w:rsidRPr="00F85132" w:rsidRDefault="00492991" w:rsidP="00492991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08.12.2016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9B57D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492991" w:rsidRPr="00492991" w:rsidRDefault="00492991" w:rsidP="0049299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492991">
        <w:rPr>
          <w:rFonts w:ascii="Calibri" w:eastAsia="Times New Roman" w:hAnsi="Calibri" w:cs="Calibri"/>
          <w:b/>
          <w:szCs w:val="20"/>
          <w:lang w:eastAsia="ru-RU"/>
        </w:rPr>
        <w:t>ДОЛГОСРОЧНЫЕ ПАРАМЕТРЫ</w:t>
      </w:r>
    </w:p>
    <w:p w:rsidR="00492991" w:rsidRPr="00492991" w:rsidRDefault="00492991" w:rsidP="0049299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492991">
        <w:rPr>
          <w:rFonts w:ascii="Calibri" w:eastAsia="Times New Roman" w:hAnsi="Calibri" w:cs="Calibri"/>
          <w:b/>
          <w:szCs w:val="20"/>
          <w:lang w:eastAsia="ru-RU"/>
        </w:rPr>
        <w:t>РЕГУЛИРОВАНИЯ, УСТАНАВЛИВАЕМЫЕ НА ДОЛГОСРОЧНЫЙ ПЕРИОД</w:t>
      </w:r>
    </w:p>
    <w:p w:rsidR="00492991" w:rsidRPr="00492991" w:rsidRDefault="00492991" w:rsidP="0049299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492991">
        <w:rPr>
          <w:rFonts w:ascii="Calibri" w:eastAsia="Times New Roman" w:hAnsi="Calibri" w:cs="Calibri"/>
          <w:b/>
          <w:szCs w:val="20"/>
          <w:lang w:eastAsia="ru-RU"/>
        </w:rPr>
        <w:t>РЕГУЛИРОВАНИЯ ДЛЯ ФОРМИРОВАНИ</w:t>
      </w:r>
      <w:bookmarkStart w:id="0" w:name="_GoBack"/>
      <w:bookmarkEnd w:id="0"/>
      <w:r w:rsidRPr="00492991">
        <w:rPr>
          <w:rFonts w:ascii="Calibri" w:eastAsia="Times New Roman" w:hAnsi="Calibri" w:cs="Calibri"/>
          <w:b/>
          <w:szCs w:val="20"/>
          <w:lang w:eastAsia="ru-RU"/>
        </w:rPr>
        <w:t>Я ТАРИФОВ С ИСПОЛЬЗОВАНИЕМ</w:t>
      </w:r>
    </w:p>
    <w:p w:rsidR="00492991" w:rsidRPr="00492991" w:rsidRDefault="00492991" w:rsidP="0049299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492991">
        <w:rPr>
          <w:rFonts w:ascii="Calibri" w:eastAsia="Times New Roman" w:hAnsi="Calibri" w:cs="Calibri"/>
          <w:b/>
          <w:szCs w:val="20"/>
          <w:lang w:eastAsia="ru-RU"/>
        </w:rPr>
        <w:t>МЕТОДА ИНДЕКСАЦИИ УСТАНОВЛЕННЫХ ТАРИФОВ</w:t>
      </w:r>
    </w:p>
    <w:p w:rsidR="00492991" w:rsidRPr="00492991" w:rsidRDefault="00492991" w:rsidP="0049299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32"/>
        <w:gridCol w:w="850"/>
        <w:gridCol w:w="1559"/>
        <w:gridCol w:w="1134"/>
        <w:gridCol w:w="1134"/>
        <w:gridCol w:w="993"/>
        <w:gridCol w:w="1559"/>
        <w:gridCol w:w="1276"/>
        <w:gridCol w:w="1275"/>
        <w:gridCol w:w="1276"/>
        <w:gridCol w:w="1276"/>
      </w:tblGrid>
      <w:tr w:rsidR="00492991" w:rsidRPr="00492991" w:rsidTr="00492991">
        <w:tc>
          <w:tcPr>
            <w:tcW w:w="624" w:type="dxa"/>
            <w:vMerge w:val="restart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п/п</w:t>
            </w:r>
          </w:p>
        </w:tc>
        <w:tc>
          <w:tcPr>
            <w:tcW w:w="2132" w:type="dxa"/>
            <w:vMerge w:val="restart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850" w:type="dxa"/>
            <w:vMerge w:val="restart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Базовый уровень операционных расходов</w:t>
            </w:r>
          </w:p>
        </w:tc>
        <w:tc>
          <w:tcPr>
            <w:tcW w:w="1134" w:type="dxa"/>
            <w:vMerge w:val="restart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Индекс эффектив</w:t>
            </w:r>
            <w:r w:rsidR="00022152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ности опера</w:t>
            </w:r>
            <w:r w:rsidR="00022152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ционных расходов</w:t>
            </w:r>
          </w:p>
        </w:tc>
        <w:tc>
          <w:tcPr>
            <w:tcW w:w="1134" w:type="dxa"/>
            <w:vMerge w:val="restart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Нормативный уровень прибыли</w:t>
            </w:r>
          </w:p>
        </w:tc>
        <w:tc>
          <w:tcPr>
            <w:tcW w:w="993" w:type="dxa"/>
            <w:vMerge w:val="restart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Уровень надеж</w:t>
            </w:r>
            <w:r w:rsidR="00022152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ности тепло</w:t>
            </w:r>
            <w:r w:rsidR="00022152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снабже</w:t>
            </w:r>
            <w:r w:rsidR="00022152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ния</w:t>
            </w:r>
          </w:p>
        </w:tc>
        <w:tc>
          <w:tcPr>
            <w:tcW w:w="4110" w:type="dxa"/>
            <w:gridSpan w:val="3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Показатели энергосбережения энергетической эффективности</w:t>
            </w:r>
          </w:p>
        </w:tc>
        <w:tc>
          <w:tcPr>
            <w:tcW w:w="1276" w:type="dxa"/>
            <w:vMerge w:val="restart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Реализация программ в области энерго</w:t>
            </w:r>
            <w:r w:rsidR="00022152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сбережения и повышения энергети</w:t>
            </w:r>
            <w:r w:rsidR="00022152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ческой эффектив</w:t>
            </w:r>
            <w:r w:rsidR="00022152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ности</w:t>
            </w:r>
          </w:p>
        </w:tc>
        <w:tc>
          <w:tcPr>
            <w:tcW w:w="1276" w:type="dxa"/>
            <w:vMerge w:val="restart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Динамика изменения расходов на топливо</w:t>
            </w:r>
          </w:p>
        </w:tc>
      </w:tr>
      <w:tr w:rsidR="00492991" w:rsidRPr="00492991" w:rsidTr="00492991">
        <w:tc>
          <w:tcPr>
            <w:tcW w:w="624" w:type="dxa"/>
            <w:vMerge/>
          </w:tcPr>
          <w:p w:rsidR="00492991" w:rsidRPr="00492991" w:rsidRDefault="00492991" w:rsidP="00492991"/>
        </w:tc>
        <w:tc>
          <w:tcPr>
            <w:tcW w:w="2132" w:type="dxa"/>
            <w:vMerge/>
          </w:tcPr>
          <w:p w:rsidR="00492991" w:rsidRPr="00492991" w:rsidRDefault="00492991" w:rsidP="00492991"/>
        </w:tc>
        <w:tc>
          <w:tcPr>
            <w:tcW w:w="850" w:type="dxa"/>
            <w:vMerge/>
          </w:tcPr>
          <w:p w:rsidR="00492991" w:rsidRPr="00492991" w:rsidRDefault="00492991" w:rsidP="00492991"/>
        </w:tc>
        <w:tc>
          <w:tcPr>
            <w:tcW w:w="1559" w:type="dxa"/>
            <w:vMerge/>
          </w:tcPr>
          <w:p w:rsidR="00492991" w:rsidRPr="00492991" w:rsidRDefault="00492991" w:rsidP="00492991"/>
        </w:tc>
        <w:tc>
          <w:tcPr>
            <w:tcW w:w="1134" w:type="dxa"/>
            <w:vMerge/>
          </w:tcPr>
          <w:p w:rsidR="00492991" w:rsidRPr="00492991" w:rsidRDefault="00492991" w:rsidP="00492991"/>
        </w:tc>
        <w:tc>
          <w:tcPr>
            <w:tcW w:w="1134" w:type="dxa"/>
            <w:vMerge/>
          </w:tcPr>
          <w:p w:rsidR="00492991" w:rsidRPr="00492991" w:rsidRDefault="00492991" w:rsidP="00492991"/>
        </w:tc>
        <w:tc>
          <w:tcPr>
            <w:tcW w:w="993" w:type="dxa"/>
            <w:vMerge/>
          </w:tcPr>
          <w:p w:rsidR="00492991" w:rsidRPr="00492991" w:rsidRDefault="00492991" w:rsidP="00492991"/>
        </w:tc>
        <w:tc>
          <w:tcPr>
            <w:tcW w:w="1559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276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Величина технологи</w:t>
            </w:r>
            <w:r w:rsidR="00022152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ческих потерь при передаче тепловой энергии по тепловым сетям</w:t>
            </w:r>
          </w:p>
        </w:tc>
        <w:tc>
          <w:tcPr>
            <w:tcW w:w="1275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Величина технологи</w:t>
            </w:r>
            <w:r w:rsidR="00022152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ческих потерь при передаче теплоноси</w:t>
            </w:r>
            <w:r w:rsidR="00022152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теля по тепловым сетям</w:t>
            </w:r>
          </w:p>
        </w:tc>
        <w:tc>
          <w:tcPr>
            <w:tcW w:w="1276" w:type="dxa"/>
            <w:vMerge/>
          </w:tcPr>
          <w:p w:rsidR="00492991" w:rsidRPr="00492991" w:rsidRDefault="00492991" w:rsidP="00492991"/>
        </w:tc>
        <w:tc>
          <w:tcPr>
            <w:tcW w:w="1276" w:type="dxa"/>
            <w:vMerge/>
          </w:tcPr>
          <w:p w:rsidR="00492991" w:rsidRPr="00492991" w:rsidRDefault="00492991" w:rsidP="00492991"/>
        </w:tc>
      </w:tr>
      <w:tr w:rsidR="00492991" w:rsidRPr="00492991" w:rsidTr="00492991">
        <w:trPr>
          <w:trHeight w:val="506"/>
        </w:trPr>
        <w:tc>
          <w:tcPr>
            <w:tcW w:w="624" w:type="dxa"/>
            <w:vMerge/>
          </w:tcPr>
          <w:p w:rsidR="00492991" w:rsidRPr="00492991" w:rsidRDefault="00492991" w:rsidP="00492991"/>
        </w:tc>
        <w:tc>
          <w:tcPr>
            <w:tcW w:w="2132" w:type="dxa"/>
            <w:vMerge/>
          </w:tcPr>
          <w:p w:rsidR="00492991" w:rsidRPr="00492991" w:rsidRDefault="00492991" w:rsidP="00492991"/>
        </w:tc>
        <w:tc>
          <w:tcPr>
            <w:tcW w:w="850" w:type="dxa"/>
            <w:vMerge/>
          </w:tcPr>
          <w:p w:rsidR="00492991" w:rsidRPr="00492991" w:rsidRDefault="00492991" w:rsidP="00492991"/>
        </w:tc>
        <w:tc>
          <w:tcPr>
            <w:tcW w:w="1559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%</w:t>
            </w:r>
          </w:p>
        </w:tc>
        <w:tc>
          <w:tcPr>
            <w:tcW w:w="1134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%</w:t>
            </w:r>
          </w:p>
        </w:tc>
        <w:tc>
          <w:tcPr>
            <w:tcW w:w="993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кг у.т./Гкал</w:t>
            </w:r>
          </w:p>
        </w:tc>
        <w:tc>
          <w:tcPr>
            <w:tcW w:w="1276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Гкал/год</w:t>
            </w:r>
          </w:p>
        </w:tc>
        <w:tc>
          <w:tcPr>
            <w:tcW w:w="1275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куб. м (т)/год</w:t>
            </w:r>
          </w:p>
        </w:tc>
        <w:tc>
          <w:tcPr>
            <w:tcW w:w="1276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492991" w:rsidRPr="00492991" w:rsidTr="00492991">
        <w:tc>
          <w:tcPr>
            <w:tcW w:w="624" w:type="dxa"/>
            <w:vMerge w:val="restart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1.</w:t>
            </w:r>
          </w:p>
        </w:tc>
        <w:tc>
          <w:tcPr>
            <w:tcW w:w="2132" w:type="dxa"/>
            <w:vMerge w:val="restart"/>
          </w:tcPr>
          <w:p w:rsidR="00492991" w:rsidRPr="00492991" w:rsidRDefault="00492991" w:rsidP="00022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ООО "Суздальтеплосбыт", г. Суздаль</w:t>
            </w:r>
          </w:p>
        </w:tc>
        <w:tc>
          <w:tcPr>
            <w:tcW w:w="850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2016</w:t>
            </w:r>
          </w:p>
        </w:tc>
        <w:tc>
          <w:tcPr>
            <w:tcW w:w="1559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26733,06</w:t>
            </w:r>
          </w:p>
        </w:tc>
        <w:tc>
          <w:tcPr>
            <w:tcW w:w="1134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1,0</w:t>
            </w:r>
          </w:p>
        </w:tc>
        <w:tc>
          <w:tcPr>
            <w:tcW w:w="1134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0,5</w:t>
            </w:r>
          </w:p>
        </w:tc>
        <w:tc>
          <w:tcPr>
            <w:tcW w:w="993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171,20</w:t>
            </w:r>
          </w:p>
        </w:tc>
        <w:tc>
          <w:tcPr>
            <w:tcW w:w="1276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13122,51</w:t>
            </w:r>
          </w:p>
        </w:tc>
        <w:tc>
          <w:tcPr>
            <w:tcW w:w="1275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25593,15</w:t>
            </w:r>
          </w:p>
        </w:tc>
        <w:tc>
          <w:tcPr>
            <w:tcW w:w="1276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492991" w:rsidRPr="00492991" w:rsidTr="00492991">
        <w:tc>
          <w:tcPr>
            <w:tcW w:w="624" w:type="dxa"/>
            <w:vMerge/>
          </w:tcPr>
          <w:p w:rsidR="00492991" w:rsidRPr="00492991" w:rsidRDefault="00492991" w:rsidP="00492991"/>
        </w:tc>
        <w:tc>
          <w:tcPr>
            <w:tcW w:w="2132" w:type="dxa"/>
            <w:vMerge/>
          </w:tcPr>
          <w:p w:rsidR="00492991" w:rsidRPr="00492991" w:rsidRDefault="00492991" w:rsidP="00492991"/>
        </w:tc>
        <w:tc>
          <w:tcPr>
            <w:tcW w:w="850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2017</w:t>
            </w:r>
          </w:p>
        </w:tc>
        <w:tc>
          <w:tcPr>
            <w:tcW w:w="1559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1,0</w:t>
            </w:r>
          </w:p>
        </w:tc>
        <w:tc>
          <w:tcPr>
            <w:tcW w:w="1134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0,5</w:t>
            </w:r>
          </w:p>
        </w:tc>
        <w:tc>
          <w:tcPr>
            <w:tcW w:w="993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171,20</w:t>
            </w:r>
          </w:p>
        </w:tc>
        <w:tc>
          <w:tcPr>
            <w:tcW w:w="1276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15234,81</w:t>
            </w:r>
          </w:p>
        </w:tc>
        <w:tc>
          <w:tcPr>
            <w:tcW w:w="1275" w:type="dxa"/>
          </w:tcPr>
          <w:p w:rsidR="00492991" w:rsidRPr="00492991" w:rsidRDefault="00022152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26029,198</w:t>
            </w:r>
          </w:p>
        </w:tc>
        <w:tc>
          <w:tcPr>
            <w:tcW w:w="1276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  <w:tr w:rsidR="00492991" w:rsidRPr="00492991" w:rsidTr="00492991">
        <w:tc>
          <w:tcPr>
            <w:tcW w:w="624" w:type="dxa"/>
            <w:vMerge/>
          </w:tcPr>
          <w:p w:rsidR="00492991" w:rsidRPr="00492991" w:rsidRDefault="00492991" w:rsidP="00492991"/>
        </w:tc>
        <w:tc>
          <w:tcPr>
            <w:tcW w:w="2132" w:type="dxa"/>
            <w:vMerge/>
          </w:tcPr>
          <w:p w:rsidR="00492991" w:rsidRPr="00492991" w:rsidRDefault="00492991" w:rsidP="00492991"/>
        </w:tc>
        <w:tc>
          <w:tcPr>
            <w:tcW w:w="850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2018</w:t>
            </w:r>
          </w:p>
        </w:tc>
        <w:tc>
          <w:tcPr>
            <w:tcW w:w="1559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1,0</w:t>
            </w:r>
          </w:p>
        </w:tc>
        <w:tc>
          <w:tcPr>
            <w:tcW w:w="1134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0,5</w:t>
            </w:r>
          </w:p>
        </w:tc>
        <w:tc>
          <w:tcPr>
            <w:tcW w:w="993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171,20</w:t>
            </w:r>
          </w:p>
        </w:tc>
        <w:tc>
          <w:tcPr>
            <w:tcW w:w="1276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15234,81</w:t>
            </w:r>
          </w:p>
        </w:tc>
        <w:tc>
          <w:tcPr>
            <w:tcW w:w="1275" w:type="dxa"/>
          </w:tcPr>
          <w:p w:rsidR="00492991" w:rsidRPr="00492991" w:rsidRDefault="00022152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26029,198</w:t>
            </w:r>
          </w:p>
        </w:tc>
        <w:tc>
          <w:tcPr>
            <w:tcW w:w="1276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92991" w:rsidRPr="00492991" w:rsidRDefault="00492991" w:rsidP="00492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492991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</w:tr>
    </w:tbl>
    <w:p w:rsidR="00492991" w:rsidRDefault="00492991" w:rsidP="00492991">
      <w:pPr>
        <w:spacing w:after="0"/>
        <w:jc w:val="right"/>
      </w:pPr>
    </w:p>
    <w:sectPr w:rsidR="00492991" w:rsidSect="00492991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FFA" w:rsidRDefault="005B3FFA">
      <w:pPr>
        <w:spacing w:after="0" w:line="240" w:lineRule="auto"/>
      </w:pPr>
      <w:r>
        <w:separator/>
      </w:r>
    </w:p>
  </w:endnote>
  <w:endnote w:type="continuationSeparator" w:id="0">
    <w:p w:rsidR="005B3FFA" w:rsidRDefault="005B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FFA" w:rsidRDefault="005B3FFA">
      <w:pPr>
        <w:spacing w:after="0" w:line="240" w:lineRule="auto"/>
      </w:pPr>
      <w:r>
        <w:separator/>
      </w:r>
    </w:p>
  </w:footnote>
  <w:footnote w:type="continuationSeparator" w:id="0">
    <w:p w:rsidR="005B3FFA" w:rsidRDefault="005B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FFA" w:rsidRDefault="008501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B3FF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3FFA">
      <w:rPr>
        <w:rStyle w:val="a5"/>
        <w:noProof/>
      </w:rPr>
      <w:t>1</w:t>
    </w:r>
    <w:r>
      <w:rPr>
        <w:rStyle w:val="a5"/>
      </w:rPr>
      <w:fldChar w:fldCharType="end"/>
    </w:r>
  </w:p>
  <w:p w:rsidR="005B3FFA" w:rsidRDefault="005B3F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59C"/>
    <w:rsid w:val="00022152"/>
    <w:rsid w:val="00150A3D"/>
    <w:rsid w:val="002F4CA3"/>
    <w:rsid w:val="00492991"/>
    <w:rsid w:val="005B3FFA"/>
    <w:rsid w:val="00706631"/>
    <w:rsid w:val="00850142"/>
    <w:rsid w:val="00942E4F"/>
    <w:rsid w:val="009B57D1"/>
    <w:rsid w:val="009E1D98"/>
    <w:rsid w:val="00A76CA7"/>
    <w:rsid w:val="00B00829"/>
    <w:rsid w:val="00B4159C"/>
    <w:rsid w:val="00D8299B"/>
    <w:rsid w:val="00DD2E8A"/>
    <w:rsid w:val="00E77EAD"/>
    <w:rsid w:val="00E91736"/>
    <w:rsid w:val="00F12F79"/>
    <w:rsid w:val="00F8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F927F-F33D-4BEC-8A9E-A94AC536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0A3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50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50A3D"/>
  </w:style>
  <w:style w:type="paragraph" w:styleId="3">
    <w:name w:val="Body Text 3"/>
    <w:basedOn w:val="a"/>
    <w:link w:val="30"/>
    <w:rsid w:val="00150A3D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50A3D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50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5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22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2152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semiHidden/>
    <w:unhideWhenUsed/>
    <w:qFormat/>
    <w:rsid w:val="00A76CA7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Иванова Наталья Ивановна</cp:lastModifiedBy>
  <cp:revision>12</cp:revision>
  <cp:lastPrinted>2016-12-13T09:23:00Z</cp:lastPrinted>
  <dcterms:created xsi:type="dcterms:W3CDTF">2016-11-16T08:27:00Z</dcterms:created>
  <dcterms:modified xsi:type="dcterms:W3CDTF">2016-12-13T09:24:00Z</dcterms:modified>
</cp:coreProperties>
</file>