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spacing w:lineRule="auto" w:line="240" w:before="0" w:after="0"/>
        <w:jc w:val="right"/>
        <w:rPr/>
      </w:pPr>
      <w:r>
        <w:rPr/>
        <w:t xml:space="preserve">Приложение  </w:t>
      </w:r>
    </w:p>
    <w:p>
      <w:pPr>
        <w:pStyle w:val="Style16"/>
        <w:spacing w:lineRule="auto" w:line="240" w:before="0" w:after="0"/>
        <w:jc w:val="right"/>
        <w:rPr/>
      </w:pPr>
      <w:r>
        <w:rPr/>
        <w:t xml:space="preserve">к Постановлению департамента </w:t>
      </w:r>
    </w:p>
    <w:p>
      <w:pPr>
        <w:pStyle w:val="Style16"/>
        <w:spacing w:lineRule="auto" w:line="240" w:before="0" w:after="0"/>
        <w:jc w:val="right"/>
        <w:rPr/>
      </w:pPr>
      <w:r>
        <w:rPr/>
        <w:t>от 23.01.2020 № 3</w:t>
      </w:r>
    </w:p>
    <w:p>
      <w:pPr>
        <w:pStyle w:val="Style16"/>
        <w:rPr/>
      </w:pPr>
      <w:r>
        <w:rPr/>
      </w:r>
    </w:p>
    <w:tbl>
      <w:tblPr>
        <w:tblStyle w:val="ad"/>
        <w:tblW w:w="9571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"/>
        <w:gridCol w:w="4394"/>
        <w:gridCol w:w="4786"/>
      </w:tblGrid>
      <w:tr>
        <w:trPr/>
        <w:tc>
          <w:tcPr>
            <w:tcW w:w="4785" w:type="dxa"/>
            <w:gridSpan w:val="2"/>
            <w:tcBorders/>
            <w:shd w:fill="auto" w:val="clear"/>
          </w:tcPr>
          <w:p>
            <w:pPr>
              <w:pStyle w:val="Normal"/>
              <w:spacing w:before="0" w:after="0"/>
              <w:jc w:val="right"/>
              <w:rPr/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Наименование категории информации</w:t>
            </w:r>
          </w:p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Размещение на сайте</w:t>
            </w:r>
          </w:p>
        </w:tc>
      </w:tr>
      <w:tr>
        <w:trPr/>
        <w:tc>
          <w:tcPr>
            <w:tcW w:w="9571" w:type="dxa"/>
            <w:gridSpan w:val="3"/>
            <w:tcBorders/>
            <w:shd w:fill="auto" w:val="clear"/>
          </w:tcPr>
          <w:p>
            <w:pPr>
              <w:pStyle w:val="ListParagraph"/>
              <w:spacing w:before="100" w:after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>. Общая информация о департаменте ветеринарии</w:t>
            </w:r>
          </w:p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администрации Владимирской области</w:t>
            </w:r>
          </w:p>
          <w:p>
            <w:pPr>
              <w:pStyle w:val="ListParagraph"/>
              <w:spacing w:before="100" w:after="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Полное и сокращенное наименование исполнительного органа Владимирской области, почтовый адрес, адрес электронной почты, номера телефонов сотрудников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Style w:val="Style14"/>
                <w:rFonts w:cs="Times New Roman"/>
                <w:color w:val="auto"/>
                <w:sz w:val="20"/>
                <w:szCs w:val="20"/>
                <w:u w:val="none"/>
              </w:rPr>
              <w:t>http://dv.avo.ru/main</w:t>
            </w:r>
          </w:p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91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Структура исполнительного органа Владимирской области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http://dv.avo.ru/struktura-departamenta</w:t>
            </w:r>
          </w:p>
        </w:tc>
      </w:tr>
      <w:tr>
        <w:trPr/>
        <w:tc>
          <w:tcPr>
            <w:tcW w:w="391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руководителях департамента  и его структурных подразделений, в частности фамилии, имена, отчества, а также согласии указанных лиц-иные сведения о них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http://dv.avo.ru/main</w:t>
            </w:r>
          </w:p>
        </w:tc>
      </w:tr>
      <w:tr>
        <w:trPr/>
        <w:tc>
          <w:tcPr>
            <w:tcW w:w="391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доходах, об имуществе и обязательствах имущественного характера гражданских служащих департамента, его супруги (супруга) и несовершеннолетних детей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https://dv.avo.ru/svedenia-o-dohodah-rashodah-ob-imusestve-i-obazatel-stvah-imusestvennogo-haraktera</w:t>
            </w:r>
          </w:p>
        </w:tc>
      </w:tr>
      <w:tr>
        <w:trPr/>
        <w:tc>
          <w:tcPr>
            <w:tcW w:w="391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полномочиях департамента, его задачах и функциях, а также перечень нормативных правовых актов, определяющих эти полномочия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http://dv.avo.ru/polozenie-o-departamentehttp://dv.avo.ru/normativnye-dokumenty</w:t>
            </w:r>
          </w:p>
        </w:tc>
      </w:tr>
      <w:tr>
        <w:trPr/>
        <w:tc>
          <w:tcPr>
            <w:tcW w:w="391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подведомственных департаменту учреждений, сведения об их задачах и функциях, а также почтовые адреса, адреса электронной почты, номера телефонов справочных служб указанных организаций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http://dv.avo.ru/podvedomstvennye-ucrezdeniahttp://dv.avo.ru/karta-raspolozenia-vysek-podvedomstvennyh-ucrezdenij</w:t>
            </w:r>
          </w:p>
        </w:tc>
      </w:tr>
      <w:tr>
        <w:trPr/>
        <w:tc>
          <w:tcPr>
            <w:tcW w:w="391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b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Перечни информационных систем, банков данных, реестров, находящихся в  ведении департамента</w:t>
            </w:r>
          </w:p>
        </w:tc>
        <w:tc>
          <w:tcPr>
            <w:tcW w:w="4786" w:type="dxa"/>
            <w:tcBorders/>
            <w:shd w:fill="auto" w:val="clear"/>
          </w:tcPr>
          <w:p>
            <w:pPr>
              <w:pStyle w:val="Normal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http://dv.avo.ru/informacionnye-sistemy</w:t>
            </w:r>
          </w:p>
        </w:tc>
      </w:tr>
    </w:tbl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II</w:t>
      </w:r>
      <w:r>
        <w:rPr>
          <w:rFonts w:cs="Times New Roman"/>
          <w:sz w:val="20"/>
          <w:szCs w:val="20"/>
        </w:rPr>
        <w:t>. Информация о нормотворческой деятельности</w:t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департамента ветеринарии</w:t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Style w:val="ad"/>
        <w:tblW w:w="9571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6"/>
        <w:gridCol w:w="4368"/>
        <w:gridCol w:w="4737"/>
      </w:tblGrid>
      <w:tr>
        <w:trPr/>
        <w:tc>
          <w:tcPr>
            <w:tcW w:w="46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36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Нормативные правовые акты, изданные департаментом, включая сведения о внесении в них изменений, признании их утратившими силу, а также сведения о государственной регистрации </w:t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http://dv.avo.ru/normativnye-dokumentyhttp://dv.avo.ru/prikazy-departamenta</w:t>
            </w:r>
          </w:p>
        </w:tc>
      </w:tr>
      <w:tr>
        <w:trPr/>
        <w:tc>
          <w:tcPr>
            <w:tcW w:w="46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436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судебных решениях о признании недействующими и противоречащими федеральному законодательству нормативных правовых актах департамента</w:t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http://gpk.avo.ru/resenia-sudov</w:t>
            </w:r>
          </w:p>
        </w:tc>
      </w:tr>
      <w:tr>
        <w:trPr/>
        <w:tc>
          <w:tcPr>
            <w:tcW w:w="46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36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Тексты проектов законодательных и иных нормативных правовых актов, внесенных в законодательный орган Владимирской области</w:t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http://dv.avo.ru/proekty</w:t>
            </w:r>
          </w:p>
        </w:tc>
      </w:tr>
      <w:tr>
        <w:trPr/>
        <w:tc>
          <w:tcPr>
            <w:tcW w:w="46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436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Административные регламенты, стандарты государственных услуг</w:t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http://dv.avo.ru/administrativnye-reglamenty</w:t>
            </w:r>
          </w:p>
        </w:tc>
      </w:tr>
      <w:tr>
        <w:trPr/>
        <w:tc>
          <w:tcPr>
            <w:tcW w:w="46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436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Установленные формы обращений, заявлений и иных документов, принимаемых департаментом к рассмотрению в соответствии с законами и иными нормативными правовыми актами</w:t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http://dv.avo.ru/politika-obrabotki-perssonal-nnyh-dannyh</w:t>
            </w:r>
          </w:p>
        </w:tc>
      </w:tr>
      <w:tr>
        <w:trPr/>
        <w:tc>
          <w:tcPr>
            <w:tcW w:w="46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4368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Порядок обжалования нормативных правовых актов и иных решений, принятых департаментом</w:t>
            </w:r>
          </w:p>
        </w:tc>
        <w:tc>
          <w:tcPr>
            <w:tcW w:w="4737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http://gpk.avo.ru/sudebnyj-i-administrativnyj-poradok-obzalovania</w:t>
            </w:r>
          </w:p>
        </w:tc>
      </w:tr>
    </w:tbl>
    <w:p>
      <w:pPr>
        <w:pStyle w:val="Normal"/>
        <w:spacing w:before="0"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III</w:t>
      </w:r>
      <w:r>
        <w:rPr>
          <w:rFonts w:cs="Times New Roman"/>
          <w:sz w:val="20"/>
          <w:szCs w:val="20"/>
        </w:rPr>
        <w:t>. Информация о текущей деятельности департамента ветеринарии</w:t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Style w:val="ad"/>
        <w:tblW w:w="9576" w:type="dxa"/>
        <w:jc w:val="left"/>
        <w:tblInd w:w="-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6"/>
        <w:gridCol w:w="5905"/>
        <w:gridCol w:w="3155"/>
      </w:tblGrid>
      <w:tr>
        <w:trPr/>
        <w:tc>
          <w:tcPr>
            <w:tcW w:w="516" w:type="dxa"/>
            <w:tcBorders/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590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Информация о ходе финансирования и реализации целевых программ Владимирской области</w:t>
            </w:r>
          </w:p>
        </w:tc>
        <w:tc>
          <w:tcPr>
            <w:tcW w:w="315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http://dv.avo.ru/otcety</w:t>
            </w:r>
          </w:p>
        </w:tc>
      </w:tr>
      <w:tr>
        <w:trPr/>
        <w:tc>
          <w:tcPr>
            <w:tcW w:w="516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</w:t>
            </w:r>
          </w:p>
        </w:tc>
        <w:tc>
          <w:tcPr>
            <w:tcW w:w="590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Информация о размещении заказов на поставки товаров, выполнени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 xml:space="preserve"> работ, оказани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 xml:space="preserve"> услуг для государственных нужд</w:t>
            </w:r>
          </w:p>
        </w:tc>
        <w:tc>
          <w:tcPr>
            <w:tcW w:w="3155" w:type="dxa"/>
            <w:tcBorders/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http://dv.avo.ru/gosudarstvennye-zakupki</w:t>
            </w:r>
          </w:p>
        </w:tc>
      </w:tr>
      <w:tr>
        <w:trPr/>
        <w:tc>
          <w:tcPr>
            <w:tcW w:w="516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16.</w:t>
            </w:r>
          </w:p>
        </w:tc>
        <w:tc>
          <w:tcPr>
            <w:tcW w:w="590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Тексты официальных выступлений и заявлений директора департамента, его заместителя, руководителей подведомственных департаменту учреждений</w:t>
            </w:r>
          </w:p>
        </w:tc>
        <w:tc>
          <w:tcPr>
            <w:tcW w:w="31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http://dv.avo.ru/teksty-oficial-nyh-vystuplenij-i-zaavlenij</w:t>
            </w:r>
          </w:p>
        </w:tc>
      </w:tr>
      <w:tr>
        <w:trPr/>
        <w:tc>
          <w:tcPr>
            <w:tcW w:w="516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17.</w:t>
            </w:r>
          </w:p>
        </w:tc>
        <w:tc>
          <w:tcPr>
            <w:tcW w:w="590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департаментом до сведения граждан и организаций в соответствии с федеральными законами, законами Владимирской области</w:t>
            </w:r>
          </w:p>
        </w:tc>
        <w:tc>
          <w:tcPr>
            <w:tcW w:w="31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Style14"/>
                <w:rFonts w:cs="Times New Roman"/>
                <w:color w:val="auto"/>
                <w:sz w:val="20"/>
                <w:szCs w:val="20"/>
                <w:u w:val="none"/>
              </w:rPr>
              <w:t>http://dv.avo.ru/cpk</w:t>
            </w:r>
            <w:r>
              <w:rPr>
                <w:rFonts w:cs="Times New Roman"/>
                <w:sz w:val="20"/>
                <w:szCs w:val="20"/>
              </w:rPr>
              <w:t xml:space="preserve"> http://dv.avo.ru/go-i-cs</w:t>
            </w:r>
          </w:p>
        </w:tc>
      </w:tr>
      <w:tr>
        <w:trPr/>
        <w:tc>
          <w:tcPr>
            <w:tcW w:w="516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590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Информация о результатах проверок,  проведенных департаментом и структурными подразделениями департамента в пределах их полномочий, а также о результатах проверок, проведенных в департаменте, подведомственных ему учреждениях</w:t>
            </w:r>
          </w:p>
        </w:tc>
        <w:tc>
          <w:tcPr>
            <w:tcW w:w="31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http://dv.avo.ru/proverki</w:t>
            </w:r>
          </w:p>
        </w:tc>
      </w:tr>
      <w:tr>
        <w:trPr/>
        <w:tc>
          <w:tcPr>
            <w:tcW w:w="516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</w:t>
            </w:r>
          </w:p>
        </w:tc>
        <w:tc>
          <w:tcPr>
            <w:tcW w:w="590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Информационные и аналитические материалы (информации, доклады, отчеты, справки) о деятельности департамента</w:t>
            </w:r>
          </w:p>
        </w:tc>
        <w:tc>
          <w:tcPr>
            <w:tcW w:w="31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http://dv.avo.ru/deatel-nost-departamenta</w:t>
            </w:r>
          </w:p>
        </w:tc>
      </w:tr>
      <w:tr>
        <w:trPr/>
        <w:tc>
          <w:tcPr>
            <w:tcW w:w="516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</w:t>
            </w:r>
          </w:p>
        </w:tc>
        <w:tc>
          <w:tcPr>
            <w:tcW w:w="590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Иная информация о деятельности департамента, подлежащая размещению в сети интернет в соответствии с федеральными законами, нормативными правовыми актами Президента РФ, Правительства РФ, нормативными правовыми актами администрации области</w:t>
            </w:r>
          </w:p>
        </w:tc>
        <w:tc>
          <w:tcPr>
            <w:tcW w:w="3155" w:type="dxa"/>
            <w:tcBorders>
              <w:top w:val="nil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</w:t>
            </w:r>
          </w:p>
        </w:tc>
      </w:tr>
    </w:tbl>
    <w:p>
      <w:pPr>
        <w:pStyle w:val="Normal"/>
        <w:spacing w:before="0" w:after="0"/>
        <w:jc w:val="center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IV</w:t>
      </w:r>
      <w:r>
        <w:rPr>
          <w:rFonts w:cs="Times New Roman"/>
          <w:sz w:val="20"/>
          <w:szCs w:val="20"/>
        </w:rPr>
        <w:t>. Статистическая информация о деятельности департамента ветеринарии</w:t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9576" w:type="dxa"/>
        <w:jc w:val="left"/>
        <w:tblInd w:w="-117" w:type="dxa"/>
        <w:tblBorders>
          <w:top w:val="single" w:sz="2" w:space="0" w:color="000000"/>
          <w:lef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6"/>
        <w:gridCol w:w="5892"/>
        <w:gridCol w:w="3168"/>
      </w:tblGrid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Style20"/>
              <w:spacing w:before="57" w:after="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57" w:after="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департамента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57" w:after="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http://dv.avo.ru/deatel-nost-departamenta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0"/>
              <w:spacing w:before="57" w:after="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57" w:after="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об использовании департаментом и подведомственными ему учреждениями выделяемых бюджетных средств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57" w:after="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http://dv.avo.ru/otcety</w:t>
            </w:r>
          </w:p>
        </w:tc>
      </w:tr>
    </w:tbl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V</w:t>
      </w:r>
      <w:r>
        <w:rPr>
          <w:rFonts w:cs="Times New Roman"/>
          <w:sz w:val="20"/>
          <w:szCs w:val="20"/>
        </w:rPr>
        <w:t>.  Информация о координационных и совещательных органах, образованных администрацией Владимирской области</w:t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9528" w:type="dxa"/>
        <w:jc w:val="left"/>
        <w:tblInd w:w="-57" w:type="dxa"/>
        <w:tblBorders>
          <w:top w:val="single" w:sz="2" w:space="0" w:color="000000"/>
          <w:left w:val="single" w:sz="2" w:space="0" w:color="000000"/>
          <w:right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5"/>
        <w:gridCol w:w="5892"/>
        <w:gridCol w:w="3181"/>
      </w:tblGrid>
      <w:tr>
        <w:trPr/>
        <w:tc>
          <w:tcPr>
            <w:tcW w:w="455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координационных и совещательных органов, образованных департаментом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https://dv.avo.ru/obsestvennyj-sovet</w:t>
            </w:r>
          </w:p>
        </w:tc>
      </w:tr>
      <w:tr>
        <w:trPr/>
        <w:tc>
          <w:tcPr>
            <w:tcW w:w="455" w:type="dxa"/>
            <w:tcBorders>
              <w:left w:val="single" w:sz="2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Нормативные правовые акты, регулирующие создание и правовую основу деятельности координационных и совещательных органов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0"/>
              <w:spacing w:before="0"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https://dv.avo.ru/obsestvennyj-sovet</w:t>
            </w:r>
          </w:p>
        </w:tc>
      </w:tr>
      <w:tr>
        <w:trPr/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</w:t>
            </w:r>
          </w:p>
        </w:tc>
        <w:tc>
          <w:tcPr>
            <w:tcW w:w="5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  <w:insideH w:val="single" w:sz="2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Информация о заседаниях координационных и совещательных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3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0"/>
              <w:spacing w:before="0" w:after="20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https://dv.avo.ru/obsestvennyj-sovet</w:t>
            </w:r>
          </w:p>
        </w:tc>
      </w:tr>
    </w:tbl>
    <w:p>
      <w:pPr>
        <w:pStyle w:val="Normal"/>
        <w:spacing w:before="0" w:after="0"/>
        <w:rPr>
          <w:rFonts w:cs="Times New Roman"/>
          <w:i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VI</w:t>
      </w:r>
      <w:r>
        <w:rPr>
          <w:rFonts w:cs="Times New Roman"/>
          <w:sz w:val="20"/>
          <w:szCs w:val="20"/>
        </w:rPr>
        <w:t>.  Информация о кадровом обеспечении департамента ветеринарии</w:t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9528" w:type="dxa"/>
        <w:jc w:val="left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5"/>
        <w:gridCol w:w="5892"/>
        <w:gridCol w:w="3181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Порядок поступления граждан на государственную гражданскую службу в департамент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Style14"/>
                <w:rFonts w:cs="Times New Roman"/>
                <w:color w:val="auto"/>
                <w:sz w:val="20"/>
                <w:szCs w:val="20"/>
                <w:u w:val="none"/>
              </w:rPr>
              <w:t>http://dv.avo.ru/vakansii</w:t>
            </w:r>
          </w:p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http://kgs.avo.ru/postuplenie-na-gosudarstvennuu-sluzbu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Сведения о вакантных должностях государственной гражданской службы, имеющиеся в департаменте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http://dv.avo.ru/vakansii1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Условия проведения конкурсов на замещение вакантных должностей государственной гражданской службы в департаменте, а также квалификационные требования к конкурсам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Style14"/>
                <w:rFonts w:cs="Times New Roman"/>
                <w:color w:val="auto"/>
                <w:sz w:val="20"/>
                <w:szCs w:val="20"/>
                <w:u w:val="none"/>
              </w:rPr>
              <w:t>http://dv.avo.ru/vakansii</w:t>
            </w:r>
          </w:p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http://kgs.avo.ru/postuplenie-na-gosudarstvennuu-sluzbu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Результаты конкурсов на замещение вакантных должностей государственной гражданской службы в департаменте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http://dv.avo.ru/konkurs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Номера телефонов, по которым можно получить информацию по вопросу замещения вакантных должностей государственной гражданской службы в департаменте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Информация о принимаемых мерах по противодействию коррупции в департаменте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https://dv.avo.ru/protivodejstvie-korrupcii1</w:t>
            </w:r>
          </w:p>
        </w:tc>
      </w:tr>
    </w:tbl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VII</w:t>
      </w:r>
      <w:r>
        <w:rPr>
          <w:rFonts w:cs="Times New Roman"/>
          <w:sz w:val="20"/>
          <w:szCs w:val="20"/>
        </w:rPr>
        <w:t>.    Информация о работе  департамента ветеринарии  с обращениями граждан (физических лиц), организаций (юридических лиц)</w:t>
      </w:r>
    </w:p>
    <w:p>
      <w:pPr>
        <w:pStyle w:val="Normal"/>
        <w:spacing w:before="0"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9528" w:type="dxa"/>
        <w:jc w:val="left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5"/>
        <w:gridCol w:w="5892"/>
        <w:gridCol w:w="3181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Нормативные правовые и иные акты, регулирующие вопросы работы с обращениями граждан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/>
            </w:pPr>
            <w:hyperlink r:id="rId2">
              <w:r>
                <w:rPr>
                  <w:rStyle w:val="Style14"/>
                  <w:rFonts w:cs="Times New Roman"/>
                  <w:color w:val="auto"/>
                  <w:sz w:val="20"/>
                  <w:szCs w:val="20"/>
                  <w:u w:val="none"/>
                </w:rPr>
                <w:t>http://dv.avo.ru/obrasenia-grazdan</w:t>
              </w:r>
            </w:hyperlink>
          </w:p>
          <w:p>
            <w:pPr>
              <w:pStyle w:val="Style20"/>
              <w:spacing w:before="0" w:after="0"/>
              <w:jc w:val="both"/>
              <w:rPr/>
            </w:pPr>
            <w:hyperlink r:id="rId3">
              <w:r>
                <w:rPr>
                  <w:rStyle w:val="Style14"/>
                  <w:rFonts w:cs="Times New Roman"/>
                  <w:color w:val="auto"/>
                  <w:sz w:val="20"/>
                  <w:szCs w:val="20"/>
                  <w:u w:val="none"/>
                </w:rPr>
                <w:t>http://avo.ru/obrasenia-grazdan</w:t>
              </w:r>
            </w:hyperlink>
          </w:p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http://avo.ru/normativnye-pravovye-akty1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Порядок рассмотрения граждан, в том числе: письменных, устных, поступивших по электронной почте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/>
            </w:pPr>
            <w:hyperlink r:id="rId4">
              <w:r>
                <w:rPr>
                  <w:rStyle w:val="Style14"/>
                  <w:rFonts w:cs="Times New Roman"/>
                  <w:color w:val="auto"/>
                  <w:sz w:val="20"/>
                  <w:szCs w:val="20"/>
                  <w:u w:val="none"/>
                </w:rPr>
                <w:t>http://dv.avo.ru/obrasenia-grazdan</w:t>
              </w:r>
            </w:hyperlink>
          </w:p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http://avo.ru/obrasenia-grazdan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График приема граждан должностными лицами в департаменте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http://dv.avo.ru/obrasenia-grazdan</w:t>
            </w:r>
          </w:p>
        </w:tc>
      </w:tr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Обобщенная информация о результатах работы с обращениями граждан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20"/>
              <w:spacing w:before="0" w:after="0"/>
              <w:jc w:val="both"/>
              <w:rPr/>
            </w:pPr>
            <w:hyperlink r:id="rId5">
              <w:r>
                <w:rPr>
                  <w:rStyle w:val="Style14"/>
                  <w:rFonts w:cs="Times New Roman"/>
                  <w:color w:val="auto"/>
                  <w:sz w:val="20"/>
                  <w:szCs w:val="20"/>
                  <w:u w:val="none"/>
                </w:rPr>
                <w:t>http://avo.ru/itogi-raboty-s-obraseniami-grazdan</w:t>
              </w:r>
            </w:hyperlink>
          </w:p>
          <w:p>
            <w:pPr>
              <w:pStyle w:val="Style20"/>
              <w:spacing w:before="0" w:after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http://avo.ru/obrasenia-grazdan</w:t>
            </w:r>
          </w:p>
        </w:tc>
      </w:tr>
    </w:tbl>
    <w:p>
      <w:pPr>
        <w:pStyle w:val="Normal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Style14" w:customStyle="1">
    <w:name w:val="Интернет-ссылка"/>
    <w:rPr>
      <w:color w:val="000080"/>
      <w:u w:val="single"/>
    </w:rPr>
  </w:style>
  <w:style w:type="character" w:styleId="ListLabel1" w:customStyle="1">
    <w:name w:val="ListLabel 1"/>
    <w:qFormat/>
    <w:rPr>
      <w:rFonts w:ascii="Times New Roman" w:hAnsi="Times New Roman" w:cs="Times New Roman"/>
    </w:rPr>
  </w:style>
  <w:style w:type="character" w:styleId="ListLabel2" w:customStyle="1">
    <w:name w:val="ListLabel 2"/>
    <w:qFormat/>
    <w:rPr>
      <w:rFonts w:ascii="Times New Roman" w:hAnsi="Times New Roman" w:cs="Times New Roman"/>
    </w:rPr>
  </w:style>
  <w:style w:type="character" w:styleId="ListLabel3">
    <w:name w:val="ListLabel 3"/>
    <w:qFormat/>
    <w:rPr>
      <w:rFonts w:cs="Times New Roman"/>
      <w:color w:val="auto"/>
      <w:sz w:val="20"/>
      <w:szCs w:val="20"/>
      <w:u w:val="none"/>
    </w:rPr>
  </w:style>
  <w:style w:type="character" w:styleId="ListLabel4">
    <w:name w:val="ListLabel 4"/>
    <w:qFormat/>
    <w:rPr>
      <w:rFonts w:cs="Times New Roman"/>
      <w:color w:val="auto"/>
      <w:sz w:val="20"/>
      <w:szCs w:val="20"/>
      <w:u w:val="none"/>
    </w:rPr>
  </w:style>
  <w:style w:type="character" w:styleId="ListLabel5">
    <w:name w:val="ListLabel 5"/>
    <w:qFormat/>
    <w:rPr>
      <w:rFonts w:cs="Times New Roman"/>
      <w:color w:val="auto"/>
      <w:sz w:val="20"/>
      <w:szCs w:val="20"/>
      <w:u w:val="none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5700"/>
    <w:pPr>
      <w:spacing w:before="0" w:after="20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bidi w:val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668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v.avo.ru/obrasenia-grazdan" TargetMode="External"/><Relationship Id="rId3" Type="http://schemas.openxmlformats.org/officeDocument/2006/relationships/hyperlink" Target="http://avo.ru/obrasenia-grazdan" TargetMode="External"/><Relationship Id="rId4" Type="http://schemas.openxmlformats.org/officeDocument/2006/relationships/hyperlink" Target="http://dv.avo.ru/obrasenia-grazdan" TargetMode="External"/><Relationship Id="rId5" Type="http://schemas.openxmlformats.org/officeDocument/2006/relationships/hyperlink" Target="http://avo.ru/itogi-raboty-s-obraseniami-grazdan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AC60-D81C-41B6-BABC-2734AF3A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LibreOffice/6.1.4.2$Windows_X86_64 LibreOffice_project/9d0f32d1f0b509096fd65e0d4bec26ddd1938fd3</Application>
  <Pages>3</Pages>
  <Words>681</Words>
  <Characters>6468</Characters>
  <CharactersWithSpaces>7040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2020-01-24T14:13:00Z</dcterms:created>
  <dc:creator>User</dc:creator>
  <dc:description/>
  <dc:language>ru-RU</dc:language>
  <cp:lastModifiedBy/>
  <dcterms:modified xsi:type="dcterms:W3CDTF">2020-01-27T10:01:31Z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